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0CE7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4AD43F8">
      <w:pPr>
        <w:spacing w:line="540" w:lineRule="exact"/>
        <w:jc w:val="center"/>
        <w:rPr>
          <w:rFonts w:ascii="方正小标宋_GBK" w:hAnsi="华文中宋" w:eastAsia="方正小标宋_GBK" w:cs="宋体"/>
          <w:b/>
          <w:kern w:val="0"/>
          <w:sz w:val="48"/>
          <w:szCs w:val="48"/>
        </w:rPr>
      </w:pPr>
    </w:p>
    <w:p w14:paraId="6913457C">
      <w:pPr>
        <w:spacing w:line="540" w:lineRule="exact"/>
        <w:jc w:val="center"/>
        <w:rPr>
          <w:rFonts w:ascii="方正小标宋_GBK" w:hAnsi="华文中宋" w:eastAsia="方正小标宋_GBK" w:cs="宋体"/>
          <w:b/>
          <w:kern w:val="0"/>
          <w:sz w:val="48"/>
          <w:szCs w:val="48"/>
        </w:rPr>
      </w:pPr>
    </w:p>
    <w:p w14:paraId="7CE81D4E">
      <w:pPr>
        <w:spacing w:line="540" w:lineRule="exact"/>
        <w:jc w:val="center"/>
        <w:rPr>
          <w:rFonts w:ascii="方正小标宋_GBK" w:hAnsi="华文中宋" w:eastAsia="方正小标宋_GBK" w:cs="宋体"/>
          <w:b/>
          <w:kern w:val="0"/>
          <w:sz w:val="48"/>
          <w:szCs w:val="48"/>
        </w:rPr>
      </w:pPr>
    </w:p>
    <w:p w14:paraId="6165818E">
      <w:pPr>
        <w:spacing w:line="540" w:lineRule="exact"/>
        <w:jc w:val="center"/>
        <w:rPr>
          <w:rFonts w:ascii="方正小标宋_GBK" w:hAnsi="华文中宋" w:eastAsia="方正小标宋_GBK" w:cs="宋体"/>
          <w:b/>
          <w:kern w:val="0"/>
          <w:sz w:val="48"/>
          <w:szCs w:val="48"/>
        </w:rPr>
      </w:pPr>
    </w:p>
    <w:p w14:paraId="5A533995">
      <w:pPr>
        <w:spacing w:line="540" w:lineRule="exact"/>
        <w:jc w:val="center"/>
        <w:rPr>
          <w:rFonts w:ascii="方正小标宋_GBK" w:hAnsi="华文中宋" w:eastAsia="方正小标宋_GBK" w:cs="宋体"/>
          <w:b/>
          <w:kern w:val="0"/>
          <w:sz w:val="48"/>
          <w:szCs w:val="48"/>
        </w:rPr>
      </w:pPr>
    </w:p>
    <w:p w14:paraId="4F014988">
      <w:pPr>
        <w:spacing w:line="540" w:lineRule="exact"/>
        <w:jc w:val="center"/>
        <w:rPr>
          <w:rFonts w:ascii="方正小标宋_GBK" w:hAnsi="华文中宋" w:eastAsia="方正小标宋_GBK" w:cs="宋体"/>
          <w:b/>
          <w:kern w:val="0"/>
          <w:sz w:val="48"/>
          <w:szCs w:val="48"/>
        </w:rPr>
      </w:pPr>
    </w:p>
    <w:p w14:paraId="2D2D3CB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4A16D1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84B3177">
      <w:pPr>
        <w:spacing w:line="540" w:lineRule="exact"/>
        <w:jc w:val="center"/>
        <w:rPr>
          <w:rFonts w:ascii="华文中宋" w:hAnsi="华文中宋" w:eastAsia="华文中宋" w:cs="宋体"/>
          <w:b/>
          <w:kern w:val="0"/>
          <w:sz w:val="52"/>
          <w:szCs w:val="52"/>
        </w:rPr>
      </w:pPr>
    </w:p>
    <w:p w14:paraId="1F49084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78D3978">
      <w:pPr>
        <w:spacing w:line="700" w:lineRule="exact"/>
        <w:jc w:val="left"/>
        <w:rPr>
          <w:rFonts w:hint="eastAsia" w:hAnsi="宋体" w:eastAsia="仿宋_GB2312" w:cs="宋体"/>
          <w:kern w:val="0"/>
          <w:sz w:val="36"/>
          <w:szCs w:val="36"/>
        </w:rPr>
      </w:pPr>
    </w:p>
    <w:p w14:paraId="7FAF6755">
      <w:pPr>
        <w:spacing w:line="700" w:lineRule="exact"/>
        <w:jc w:val="left"/>
        <w:rPr>
          <w:rFonts w:hint="eastAsia" w:hAnsi="宋体" w:eastAsia="仿宋_GB2312" w:cs="宋体"/>
          <w:kern w:val="0"/>
          <w:sz w:val="36"/>
          <w:szCs w:val="36"/>
        </w:rPr>
      </w:pPr>
    </w:p>
    <w:p w14:paraId="4F3880C0">
      <w:pPr>
        <w:spacing w:line="700" w:lineRule="exact"/>
        <w:jc w:val="left"/>
        <w:rPr>
          <w:rFonts w:hint="eastAsia" w:hAnsi="宋体" w:eastAsia="仿宋_GB2312" w:cs="宋体"/>
          <w:kern w:val="0"/>
          <w:sz w:val="36"/>
          <w:szCs w:val="36"/>
          <w:lang w:eastAsia="zh-CN"/>
        </w:rPr>
      </w:pPr>
    </w:p>
    <w:p w14:paraId="00B9F456">
      <w:pPr>
        <w:spacing w:line="700" w:lineRule="exact"/>
        <w:jc w:val="left"/>
        <w:rPr>
          <w:rFonts w:hint="eastAsia" w:hAnsi="宋体" w:eastAsia="仿宋_GB2312" w:cs="宋体"/>
          <w:kern w:val="0"/>
          <w:sz w:val="36"/>
          <w:szCs w:val="36"/>
          <w:lang w:eastAsia="zh-CN"/>
        </w:rPr>
      </w:pPr>
    </w:p>
    <w:p w14:paraId="0656C2AE">
      <w:pPr>
        <w:spacing w:line="700" w:lineRule="exact"/>
        <w:jc w:val="left"/>
        <w:rPr>
          <w:rFonts w:hint="eastAsia" w:hAnsi="宋体" w:eastAsia="仿宋_GB2312" w:cs="宋体"/>
          <w:kern w:val="0"/>
          <w:sz w:val="36"/>
          <w:szCs w:val="36"/>
          <w:lang w:eastAsia="zh-CN"/>
        </w:rPr>
      </w:pPr>
    </w:p>
    <w:p w14:paraId="09895B4F">
      <w:pPr>
        <w:spacing w:line="700" w:lineRule="exact"/>
        <w:jc w:val="left"/>
        <w:rPr>
          <w:rFonts w:hint="eastAsia" w:hAnsi="宋体" w:eastAsia="仿宋_GB2312" w:cs="宋体"/>
          <w:kern w:val="0"/>
          <w:sz w:val="36"/>
          <w:szCs w:val="36"/>
          <w:lang w:eastAsia="zh-CN"/>
        </w:rPr>
      </w:pPr>
    </w:p>
    <w:p w14:paraId="400E635E">
      <w:pPr>
        <w:spacing w:line="540" w:lineRule="exact"/>
        <w:ind w:firstLine="567"/>
        <w:rPr>
          <w:rFonts w:hint="eastAsia" w:hAnsi="宋体" w:eastAsia="仿宋" w:cs="宋体"/>
          <w:b w:val="0"/>
          <w:bCs w:val="0"/>
          <w:kern w:val="0"/>
          <w:sz w:val="36"/>
          <w:szCs w:val="36"/>
          <w:lang w:eastAsia="zh-CN"/>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克州党委</w:t>
      </w:r>
      <w:r>
        <w:rPr>
          <w:rStyle w:val="6"/>
          <w:rFonts w:hint="eastAsia" w:ascii="仿宋" w:hAnsi="仿宋" w:eastAsia="仿宋" w:cs="仿宋"/>
          <w:b w:val="0"/>
          <w:bCs w:val="0"/>
          <w:spacing w:val="-4"/>
          <w:sz w:val="36"/>
          <w:szCs w:val="36"/>
          <w:lang w:eastAsia="zh-CN"/>
        </w:rPr>
        <w:t>老干部局</w:t>
      </w:r>
    </w:p>
    <w:p w14:paraId="61AE6D69">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21B9D88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2642F6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841696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克州党委老干部局是自治州党委主管离退休干部工作的工作机关，主要职责是：负责指导自治州离退休干部政治建设、思想建设和党组织建设，组织引导离退休干部在贯彻以习近平同志为核心的党中央治疆方略，特别是社会稳定和长治久安总目标中发挥作用，为党和人民事业增添正能量；组织开展自治州离退休干部工作调查研究，制定自治州离退休干部工作的具体意见和措施；负责自治州离退休干部工作政策业务的指导和检查工作，并办理相关业务，督促有关部门落实离退休干部政治待遇和生活待遇；负责推动自治州离退休干部工作精准化、信息化建设；指导全州老干部工作部门自身建设；组织协调开展离退休干部各项活动；严格管理、合理使用离退休干部各项专用经费；负责宣传党的离退休干部工作方针政策及自治区，自治州典型经验做法；负责指导青少年思想政治建设，会同有关部门调查研究青少年健康成长中存在的问题，向自治州党委和人民政府提出解决问题的意见。完成自治州党委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克州党委老干部局编制17名，其中：行政编制6名，机关工勤事业编制1名，参照公务员管理编制10名。实有人员29人，其中：在职10人，离休6人，退休13人。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(一)持之以恒抓好从严治党</w:t>
      </w:r>
      <w:r>
        <w:rPr>
          <w:rFonts w:hint="eastAsia" w:ascii="仿宋_GB2312" w:hAnsi="宋体" w:eastAsia="仿宋_GB2312"/>
          <w:b w:val="0"/>
          <w:bCs/>
          <w:sz w:val="32"/>
          <w:szCs w:val="32"/>
        </w:rPr>
        <w:cr/>
      </w:r>
      <w:r>
        <w:rPr>
          <w:rFonts w:hint="eastAsia" w:ascii="仿宋_GB2312" w:hAnsi="宋体" w:eastAsia="仿宋_GB2312"/>
          <w:b w:val="0"/>
          <w:bCs/>
          <w:sz w:val="32"/>
          <w:szCs w:val="32"/>
        </w:rPr>
        <w:t>　　8月26日，州直属机关工委批准成立克州党委老干部局机关党委，老干部局副局长邓昌武任机关党委书记，负责离退休干部党建工作的指导、督促、检查。充分发挥老干部党支部作用，采取集中培训、专题辅导、座谈交流、线上汇报会等多种形式，深化</w:t>
      </w:r>
      <w:r>
        <w:rPr>
          <w:rFonts w:hint="eastAsia" w:ascii="仿宋_GB2312" w:hAnsi="宋体" w:eastAsia="仿宋_GB2312"/>
          <w:b w:val="0"/>
          <w:bCs/>
          <w:sz w:val="32"/>
          <w:szCs w:val="32"/>
          <w:lang w:eastAsia="zh-CN"/>
        </w:rPr>
        <w:t>学习习近平新时代中国特色社会主义思想</w:t>
      </w:r>
      <w:r>
        <w:rPr>
          <w:rFonts w:hint="eastAsia" w:ascii="仿宋_GB2312" w:hAnsi="宋体" w:eastAsia="仿宋_GB2312"/>
          <w:b w:val="0"/>
          <w:bCs/>
          <w:sz w:val="32"/>
          <w:szCs w:val="32"/>
        </w:rPr>
        <w:t>教育。组织州直离退休干部党支部书记、支部委员举办“学习党史主题党日”活动，选派2名优秀离退休党支部书记和7名老干部工作者参加自治区老干部局（关工委）组织的离退休党支部书记和党务干部培训班，引导广大老党员不忘入党初心，坚定理想信念。落实“三会一课”制度，搭建“党旗映天山”党建信息化管理平台，按月开展“党旗映天山”主题活动，严格执行党费收缴规定。巩固离退休干部基层党组织示范点建设，完善自治州《关于认真做好离退休干部党支部书记和委员发放工作补贴的通知》，落实离退休干部党支部书记每月300元的工作补贴。</w:t>
      </w:r>
      <w:r>
        <w:rPr>
          <w:rFonts w:hint="eastAsia" w:ascii="仿宋_GB2312" w:hAnsi="宋体" w:eastAsia="仿宋_GB2312"/>
          <w:b w:val="0"/>
          <w:bCs/>
          <w:sz w:val="32"/>
          <w:szCs w:val="32"/>
        </w:rPr>
        <w:cr/>
      </w:r>
      <w:r>
        <w:rPr>
          <w:rFonts w:hint="eastAsia" w:ascii="仿宋_GB2312" w:hAnsi="宋体" w:eastAsia="仿宋_GB2312"/>
          <w:b w:val="0"/>
          <w:bCs/>
          <w:sz w:val="32"/>
          <w:szCs w:val="32"/>
        </w:rPr>
        <w:t>　　(二)持之以恒抓好稳定工作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老干部局按照州委的要求，把抓好稳定工作当成看家任务、看家责任、看家本领，自觉克服麻痹大意思想，始终保持警钟长鸣、警惕常在，单位人防、物防、技防到位。稳定工作领导小组把单位平安建设作为抓好稳定的一个抓手，常抓不懈，认真调处矛盾纠纷，确保了老干部队伍长期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（三）持之以恒抓好疫情防控</w:t>
      </w:r>
      <w:r>
        <w:rPr>
          <w:rFonts w:hint="eastAsia" w:ascii="仿宋_GB2312" w:hAnsi="宋体" w:eastAsia="仿宋_GB2312"/>
          <w:b w:val="0"/>
          <w:bCs/>
          <w:sz w:val="32"/>
          <w:szCs w:val="32"/>
        </w:rPr>
        <w:cr/>
      </w:r>
      <w:r>
        <w:rPr>
          <w:rFonts w:hint="eastAsia" w:ascii="仿宋_GB2312" w:hAnsi="宋体" w:eastAsia="仿宋_GB2312"/>
          <w:b w:val="0"/>
          <w:bCs/>
          <w:sz w:val="32"/>
          <w:szCs w:val="32"/>
        </w:rPr>
        <w:t>　　我们始终贯彻落实自治州党委决策部署，压紧压实领导主体责任，统筹抓好疫情防控和业务工作，时刻紧绷疫情防控这根弦，按照“四早”要求和“外防输入、内防反弹”总体防控策略，落实好“八项监测预警机制”，坚持以所有人员核酸检测为有力抓手，严格落实好防疫“三件事”，按照人员1天、3天核酸检测时间节点要求做好核酸检测工作。做到了所有人员每天体温监测，办公区域每天2次消杀，两次疫苗接种率达到100%，单位无异常事故发生。</w:t>
      </w:r>
      <w:r>
        <w:rPr>
          <w:rFonts w:hint="eastAsia" w:ascii="仿宋_GB2312" w:hAnsi="宋体" w:eastAsia="仿宋_GB2312"/>
          <w:b w:val="0"/>
          <w:bCs/>
          <w:sz w:val="32"/>
          <w:szCs w:val="32"/>
        </w:rPr>
        <w:cr/>
      </w:r>
      <w:r>
        <w:rPr>
          <w:rFonts w:hint="eastAsia" w:ascii="仿宋_GB2312" w:hAnsi="宋体" w:eastAsia="仿宋_GB2312"/>
          <w:b w:val="0"/>
          <w:bCs/>
          <w:sz w:val="32"/>
          <w:szCs w:val="32"/>
        </w:rPr>
        <w:t>　　（四）持之以恒抓好安全生产</w:t>
      </w:r>
      <w:r>
        <w:rPr>
          <w:rFonts w:hint="eastAsia" w:ascii="仿宋_GB2312" w:hAnsi="宋体" w:eastAsia="仿宋_GB2312"/>
          <w:b w:val="0"/>
          <w:bCs/>
          <w:sz w:val="32"/>
          <w:szCs w:val="32"/>
        </w:rPr>
        <w:cr/>
      </w:r>
      <w:r>
        <w:rPr>
          <w:rFonts w:hint="eastAsia" w:ascii="仿宋_GB2312" w:hAnsi="宋体" w:eastAsia="仿宋_GB2312"/>
          <w:b w:val="0"/>
          <w:bCs/>
          <w:sz w:val="32"/>
          <w:szCs w:val="32"/>
        </w:rPr>
        <w:t>　　老干部局班子认真组织专题学习习近平总书记关于安全生产的重要论述，落实党中央、自治区、自治州党委关于安全生产的各项部署，始终把安全生产放在工作首位，压紧压实单位安全生产责任，严格落实安全生产责任制，坚持“一把手负总责、一岗双责、失职追责”要求，定期对重点部位、重点场所进行检查，发现安全隐患及时整改，认真落实重大时间节点24小时值班值守制度，单位办公区域视频监控全覆盖。利用“法宣在线”“学习强国”学习平台，提高干部学法的能力，制定了老干部局“八五”普法方案和年度普法计划，将“八五”普法纳入单位整体工作考核，一年来本单位无安全生产事故发生。</w:t>
      </w:r>
      <w:r>
        <w:rPr>
          <w:rFonts w:hint="eastAsia" w:ascii="仿宋_GB2312" w:hAnsi="宋体" w:eastAsia="仿宋_GB2312"/>
          <w:b w:val="0"/>
          <w:bCs/>
          <w:sz w:val="32"/>
          <w:szCs w:val="32"/>
        </w:rPr>
        <w:cr/>
      </w:r>
      <w:r>
        <w:rPr>
          <w:rFonts w:hint="eastAsia" w:ascii="仿宋_GB2312" w:hAnsi="宋体" w:eastAsia="仿宋_GB2312"/>
          <w:b w:val="0"/>
          <w:bCs/>
          <w:sz w:val="32"/>
          <w:szCs w:val="32"/>
        </w:rPr>
        <w:t>　　（五）持之以恒做好老干部工作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精心谋划部署，开展庆祝建党一百周年系列活动。根据州委统一部署，坚持高站位谋划、高标准要求、高效能推进、高质量落实，把党史学习、调查研究、为老同志办实事贯穿始终，引导全局党员干部学党史、悟思想、办实事、开新局，推动党史学习教育走深走实、落细落地。为离退休干部党支部的所有党员采购《习近平新时代中国特色社会主义思想学习问答》、《论中国共产党历史》等民、汉学习资料人手一套。组织离退休干部书记、支部委员和老干部局全体干部观看习近平总书记在</w:t>
      </w:r>
      <w:r>
        <w:rPr>
          <w:rFonts w:hint="eastAsia" w:ascii="仿宋_GB2312" w:hAnsi="宋体" w:eastAsia="仿宋_GB2312"/>
          <w:b w:val="0"/>
          <w:bCs/>
          <w:sz w:val="32"/>
          <w:szCs w:val="32"/>
          <w:lang w:eastAsia="zh-CN"/>
        </w:rPr>
        <w:t>庆祝中国共产党成立100周年</w:t>
      </w:r>
      <w:r>
        <w:rPr>
          <w:rFonts w:hint="eastAsia" w:ascii="仿宋_GB2312" w:hAnsi="宋体" w:eastAsia="仿宋_GB2312"/>
          <w:b w:val="0"/>
          <w:bCs/>
          <w:sz w:val="32"/>
          <w:szCs w:val="32"/>
        </w:rPr>
        <w:t>大会上的讲话。</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聚焦“三个面向”建设，全面提升离退休干部服务管理水平。加强离退休干部服务管理，系统培训老干部党支部委员，完善老干部数据录入、信息核查和功能应用，按照自治区党委老干部局的要求，量化考核细则，推进“党旗映天山”平台建设。加强对离退休干部的精准服务，坚持定期走访慰问，重点了解老同志的忧虑和担忧。</w:t>
      </w:r>
      <w:r>
        <w:rPr>
          <w:rFonts w:hint="eastAsia" w:ascii="仿宋_GB2312" w:hAnsi="宋体" w:eastAsia="仿宋_GB2312"/>
          <w:b w:val="0"/>
          <w:bCs/>
          <w:sz w:val="32"/>
          <w:szCs w:val="32"/>
        </w:rPr>
        <w:cr/>
      </w:r>
      <w:r>
        <w:rPr>
          <w:rFonts w:hint="eastAsia" w:ascii="仿宋_GB2312" w:hAnsi="宋体" w:eastAsia="仿宋_GB2312"/>
          <w:b w:val="0"/>
          <w:bCs/>
          <w:sz w:val="32"/>
          <w:szCs w:val="32"/>
        </w:rPr>
        <w:t>　　三是弘扬时代新风，倡导现代文明生活风尚。克州党委老干部局机关党委在全体离退休老干部中紧扣“中华民族一家亲，同心共筑中国梦”主题，把倡导文明健康绿色环保生活方式与文明风尚行动有机结合，深入实施传统节日振兴工程，围绕中华民族传统节日春节、端午节、中秋节、重阳节等节日，广泛开展“传家训、立家规、扬家凤”“反对浪费、崇尚节约”文明行动活动，发挥文明家庭、五好家庭、最美家庭的示范带动作用，通过巡讲、主题展、家庭故事会等方式讲述感人家风故事，加强家庭教育，培养良好家风，淳化家庭美德，引导各族群众传承优秀传统文化，在思想观念、精神情趣、生活方式上向现代化迈进，抵御民族分裂主义和宗教极端思想渗透。指导访惠聚工作队在驻村点大力开展“推动移风易俗、弘扬时代新风”行动，破除陈规陋俗、传播文明理念、涵育文明乡风，引导农牧民合理规划人居环境，养成睡觉上床、吃饭上桌的良好习惯。</w:t>
      </w:r>
      <w:r>
        <w:rPr>
          <w:rFonts w:hint="eastAsia" w:ascii="仿宋_GB2312" w:hAnsi="宋体" w:eastAsia="仿宋_GB2312"/>
          <w:b w:val="0"/>
          <w:bCs/>
          <w:sz w:val="32"/>
          <w:szCs w:val="32"/>
        </w:rPr>
        <w:cr/>
      </w:r>
      <w:r>
        <w:rPr>
          <w:rFonts w:hint="eastAsia" w:ascii="仿宋_GB2312" w:hAnsi="宋体" w:eastAsia="仿宋_GB2312"/>
          <w:b w:val="0"/>
          <w:bCs/>
          <w:sz w:val="32"/>
          <w:szCs w:val="32"/>
        </w:rPr>
        <w:t>　　四是发挥主导作用，鼓励老同志释放正能量。组织开展“我看党的百年新成就”专题调研活动，采取走访调研、召开老干部座谈会等方式，引导老同志建言献策。发挥老同志在见证历史、熟悉党史方面的独特优势，组织州直厅级退休干部集体学习安征宇书记在自治州十一届党代会上的讲话，征求老干部对克州当前和今后一个时期经济发展、社会稳定、疫情防控、民生改善等方面的意见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重点支出保障率用以反映和考核部门（单位）对履行主要职责或完成重点任务的保障程度。我单位本年主要实施为民办实事和第一书记工作重点项目，履行了为民办实事和第一书记工作主要职责。</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本年度预算安排的重点项目支出12万元，项目总支出25.8万元，重点支出保障率为46.51%。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我单位年初预算数为387.97万元，实际预算执行数387.97万元，预算执行率为100%。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全年预算数为491.53万元，全年实际支出资金489.98万元，预算执行率为99.68%。</w:t>
      </w:r>
      <w:r>
        <w:rPr>
          <w:rFonts w:hint="eastAsia" w:ascii="仿宋_GB2312" w:hAnsi="宋体" w:eastAsia="仿宋_GB2312"/>
          <w:b w:val="0"/>
          <w:bCs/>
          <w:sz w:val="32"/>
          <w:szCs w:val="32"/>
        </w:rPr>
        <w:cr/>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我单位年初批复预算数387.97万元，年中调整数103.56万元，调整后全年预算数491.53万元，预算调整率26.69%。</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3.政府采购执行情况 </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年初政府采购预算数为31.7万元，实际政府采购数为31.7万元，政府采购执行率为100%。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14:paraId="3FDED37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DCFA65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克州党委老干部局预算绩效管理工作实施办法》，《克州党委老干部局财务管理制度》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2021年本单位基本支出全年预算总额464.18万元，其中：人员经费360.19万元，公用经费103.99万元。实际支出464.18元，基本支出预算执行率100%。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地委行署厉行勤俭办公的工作要求，提倡本单位全体干部职工，勤俭节约，切实降低行政运行成本，确保每年“三公经费”只减不增。2021年“三公经费”预算为3.6万元，实际支出3万元，“三公经费”控制率为83.33%，其中：因公出国（境）费预算为0万元，实际支出0万元；公务接待费预算为0.6万元，实际支出0万元；公务用车购置费预算为0万元，实际支出0万元；公务用车运行维护费预算为3万元，实际支出3万元，公务用车运行维护费控制率100%，符合财政部门本年预算要求和相关管理制度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2021年本单位安排专项支出预算总额25.8万元，实际支出25.8万元，专项支出预算执行率100%。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2021年本单位共有4个资金项目，其中4个属经常性项目、0个属当年度新增项目，已完成项目4个、未完成项目0个。</w:t>
      </w:r>
    </w:p>
    <w:p w14:paraId="0FD73AA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5456C1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本年我单位实施专项项目4个，涉及金额25.8万元，其中：中央专项项目0个涉及金额0万元，自治区专项项目1个涉及金额12万元，地区本级专项项目3个涉及金额13.8万元。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邓昌武任评价组组长，绩效评价工作职责为负责全盘工作。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布合丽且木·吐尔逊任评价组副组长，绩效评价工作职责为为对项目实施情况进行实地调查。</w:t>
      </w:r>
      <w:r>
        <w:rPr>
          <w:rFonts w:hint="eastAsia" w:ascii="仿宋_GB2312" w:hAnsi="宋体" w:eastAsia="仿宋_GB2312"/>
          <w:b w:val="0"/>
          <w:bCs/>
          <w:sz w:val="32"/>
          <w:szCs w:val="32"/>
        </w:rPr>
        <w:cr/>
      </w:r>
      <w:r>
        <w:rPr>
          <w:rFonts w:hint="eastAsia" w:ascii="仿宋_GB2312" w:hAnsi="宋体" w:eastAsia="仿宋_GB2312"/>
          <w:b w:val="0"/>
          <w:bCs/>
          <w:sz w:val="32"/>
          <w:szCs w:val="32"/>
        </w:rPr>
        <w:t>　　王文波、黄树成、桑宁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预算资金25.8万元，实际到位25.8万元，实际支出25.8万元。到位足额及时，预算编制依据充分，预算编制准确，资金不存在截留、挪用，支付审批合规、不存在用途改变、范围超支和虚列项目支出等情况；本项目严格按照《克州党委老干部局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cr/>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项目实施对效益的影响：项目的实施有效提升了公共服务能力，业务保障能力,持续提升了离退休干部管理水平。</w:t>
      </w:r>
    </w:p>
    <w:p w14:paraId="4828C40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216C684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133.96万元，比上年增加25.66万元，主要原因是增加固定资产具体为LED屏、空调、饮水器、铁皮文件柜、会议桌、高清电视、折叠床、装订机、专用计算机、台式电脑、手机屏蔽柜等，驻乌干休所划转车辆1辆，货币资金减少，其中：货币资金6.49万元，比上年减少2.23万元；财政应返还额度0万元，比上年相比无变化；房屋80平方米17.83万元，比上年相比无变化；车辆2辆33万元，与上年增加14.96万元；在建工程0万元，与上年持平；办公设备及家具37.89万元，与上年增加3.82万元。专用设备及通用设备38.75万元，与上年增加9.11万元我单位本年无资产处置情况，资产配置合理，使用规范，安全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我单位固定资产127.47万元,其中:2套房屋17.83万元，2辆车33万元，10个专用设备5.28万元，472个办公设备71.36万元。目前正在使用的固定资产总额127.47万元，固定资产利用率为100%。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我单位严格按照内控体系要求进行管理，无备用金，单位货币资金管理由财务室每月与国库支付中心进行对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截止本年度固定资产账面净值54.76万元，年末实际在用固定资产54.76万元，固定资产利用率为100%。</w:t>
      </w:r>
    </w:p>
    <w:p w14:paraId="5656F10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45C4D7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部门单位整体支出自评表，共设置一级指标3个，二级指标7个，三级指标17个。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保障人员人数指标，预期指标是大于等于29人，实际完成值是29人，指标完成率是100%，达到预期目标。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发放离退休党组织工作补贴人数指标，预期指标是大于等于9人，实际完成值是9人，指标完成率是100%，达到预期目标。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发放特困帮扶人数指标，预期指标是大于等于10人，实际完成值是10人，指标完成率是100%，达到预期目标。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购买办公综合耗材指标，预期指标是大于等于10次，实际完成值是10次，指标完成率是100%，达到预期目标。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下乡慰问、为群众做好事指标，预期指标是大于等于12件，实际完成值是12件，指标完成率是100%，达到预期目标。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为民办实事好事次数指标，预期指标是大于等于24次，实际完成值是24次，指标完成率是100%，达到预期目标。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节日期间慰问、座谈次数指标，预期指标是大于等于5次，实际完成值是5次，指标完成率是100%，达到预期目标。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数量指标共计7个，完成7个，达到预期目标，数量指标完成。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绩效考核合格率指标，预期指标是等于95%，实际完成值是95%，指标完成率是100%，达到质量提升及标准。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人员工资发放及时率指标，预期指标是等于100%，实际完成值是100%，指标完成率是100%，达到预期目标。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职工取暖费，独生子女费，职工绩效工资发放及时率指标，预期指标是等于100%，实际完成值是100%，指标完成率是100%，达到预期目标。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人员经费指标，预期指标是小于等于322.17万元，实际完成值是322.17万元，指标完成率是100%，达到成本控制及改善目标。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公用经费指标，预期指标是小于等于40万元，实际完成值是40万元，指标完成率是100%，达到成本控制及改善目标。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项目支出指标，预期指标是小于等于25.8万元，实际完成值是25.8万元，指标完成率是100%，达到成本控制及改善目标。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成本指标共计3个，完成3个，达到成本控制及改善目标，成本指标完成。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公共服务能力提升情况指标，预期指标是有效提升，实际完成值是有效提升，指标完成率是100%，达到单位履职能力对社会带来的影响预期目标。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业务保障能力提升情况指标，预期指标是有效提升，实际完成值是有效提升，指标完成率是100%，达到单位履职能力对社会带来的影响预期目标。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持续提升离退休干部管理水平指标，预期指标是有效持续提升，实际完成值是持续提升，指标完成率是100%，实现部门绩效长效机制建设，提高工作效率目标。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1CE6184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8C423C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14:paraId="02C4831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015B27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p w14:paraId="01E202C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34E414B"/>
    <w:rsid w:val="1438599A"/>
    <w:rsid w:val="18F72141"/>
    <w:rsid w:val="200F4073"/>
    <w:rsid w:val="24B86128"/>
    <w:rsid w:val="476903FF"/>
    <w:rsid w:val="51C70EA9"/>
    <w:rsid w:val="54F842B6"/>
    <w:rsid w:val="58B000A7"/>
    <w:rsid w:val="656071F2"/>
    <w:rsid w:val="67175053"/>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9162</Words>
  <Characters>9545</Characters>
  <Lines>2</Lines>
  <Paragraphs>1</Paragraphs>
  <TotalTime>30</TotalTime>
  <ScaleCrop>false</ScaleCrop>
  <LinksUpToDate>false</LinksUpToDate>
  <CharactersWithSpaces>9838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2025-07-31T03:31:11Z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